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0" w:type="dxa"/>
        <w:tblCellSpacing w:w="0" w:type="dxa"/>
        <w:tblInd w:w="1695" w:type="dxa"/>
        <w:tblBorders>
          <w:top w:val="single" w:sz="6" w:space="0" w:color="003768"/>
          <w:left w:val="single" w:sz="6" w:space="0" w:color="00376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3427"/>
        <w:gridCol w:w="1396"/>
        <w:gridCol w:w="2554"/>
      </w:tblGrid>
      <w:tr w:rsidR="00973174" w:rsidRPr="00CB6439" w:rsidTr="00973174">
        <w:trPr>
          <w:trHeight w:val="489"/>
          <w:tblCellSpacing w:w="0" w:type="dxa"/>
        </w:trPr>
        <w:tc>
          <w:tcPr>
            <w:tcW w:w="0" w:type="auto"/>
            <w:gridSpan w:val="4"/>
            <w:tcBorders>
              <w:bottom w:val="single" w:sz="6" w:space="0" w:color="003768"/>
              <w:right w:val="single" w:sz="6" w:space="0" w:color="003768"/>
            </w:tcBorders>
            <w:shd w:val="clear" w:color="auto" w:fill="00376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color w:val="434749"/>
                <w:sz w:val="16"/>
                <w:szCs w:val="16"/>
              </w:rPr>
            </w:pPr>
            <w:bookmarkStart w:id="0" w:name="_GoBack"/>
            <w:bookmarkEnd w:id="0"/>
            <w:r w:rsidRPr="00BB52BD">
              <w:rPr>
                <w:rStyle w:val="apple-converted-space"/>
                <w:rFonts w:asciiTheme="majorHAnsi" w:hAnsiTheme="majorHAnsi"/>
                <w:b/>
                <w:color w:val="000000"/>
                <w:sz w:val="16"/>
                <w:szCs w:val="16"/>
                <w:shd w:val="clear" w:color="auto" w:fill="F9F9F9"/>
              </w:rPr>
              <w:br w:type="page"/>
            </w:r>
            <w:r w:rsidRPr="00BB52BD">
              <w:rPr>
                <w:rFonts w:asciiTheme="majorHAnsi" w:eastAsia="Times New Roman" w:hAnsiTheme="majorHAnsi" w:cs="Arial"/>
                <w:b/>
                <w:bCs/>
                <w:color w:val="FFFFFF"/>
                <w:sz w:val="16"/>
                <w:szCs w:val="16"/>
              </w:rPr>
              <w:t>State-by-State Impact of SNAP ARRA Cuts in Fiscal Year 2014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3768"/>
              <w:right w:val="single" w:sz="6" w:space="0" w:color="003768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bottom w:val="single" w:sz="6" w:space="0" w:color="003768"/>
              <w:right w:val="single" w:sz="6" w:space="0" w:color="003768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Total SNAP Benefit Cut to State</w:t>
            </w: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 xml:space="preserve">(in </w:t>
            </w:r>
            <w:r w:rsidRPr="00BB52BD">
              <w:rPr>
                <w:rFonts w:asciiTheme="majorHAnsi" w:eastAsia="Times New Roman" w:hAnsiTheme="majorHAnsi" w:cs="Arial"/>
                <w:sz w:val="16"/>
                <w:szCs w:val="16"/>
                <w:u w:val="single"/>
              </w:rPr>
              <w:t>millions</w:t>
            </w: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 xml:space="preserve"> of dollars, from November 2013 </w:t>
            </w: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br/>
              <w:t>through September 2014)</w:t>
            </w:r>
          </w:p>
        </w:tc>
        <w:tc>
          <w:tcPr>
            <w:tcW w:w="0" w:type="auto"/>
            <w:gridSpan w:val="2"/>
            <w:tcBorders>
              <w:bottom w:val="single" w:sz="6" w:space="0" w:color="003768"/>
              <w:right w:val="single" w:sz="6" w:space="0" w:color="003768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 xml:space="preserve">Number of SNAP Recipients Impacted </w:t>
            </w:r>
          </w:p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by the Benefit Cut in FY 2014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Share of Total State Population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Alabama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-$98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910,000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19%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Alaska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-$12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95,000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13%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Arizona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-$109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1,101,000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17%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Arkansas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-$52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501,000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17%</w:t>
            </w:r>
          </w:p>
        </w:tc>
      </w:tr>
      <w:tr w:rsidR="00973174" w:rsidRPr="00CB6439" w:rsidTr="00973174">
        <w:trPr>
          <w:trHeight w:val="132"/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California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-$457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4,168,000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11%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Colorado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-$55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511,000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10%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Connecticut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-$44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424,000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12%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Delaware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-$16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154,000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17%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District of Columbia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-$15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144,000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22%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Florida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-$379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3,552,000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18%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Georgia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-$210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1,947,000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19%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Hawaii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-$33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190,000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13%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Idaho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-$24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230,000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14%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Illinois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-$220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2,031,000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16%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Indiana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-$98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925,000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14%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Iowa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-$43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421,000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13%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Kansas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-$33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317,000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11%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Kentucky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-$94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875,000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20%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Louisiana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-$98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920,000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20%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Maine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-$26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251,000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19%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Maryland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-$82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774,000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13%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Massachusetts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-$95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889,000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13%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Michigan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-$183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1,775,000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18%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Minnesota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-$55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556,000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10%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Mississippi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-$70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664,000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22%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Missouri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-$96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933,000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15%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Montana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-$13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131,000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13%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Nebraska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-$18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180,000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10%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Nevada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-$37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359,000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13%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New Hampshire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-$12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117,000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9%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New Jersey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-$90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873,000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10%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New Mexico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-$47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442,000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21%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New York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-$332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3,185,000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16%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North Carolina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-$166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1,708,000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17%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North Dakota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-$6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57,000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8%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Ohio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-$193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1,847,000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16%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Oklahoma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-$66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615,000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16%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Oregon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-$84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819,000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21%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Pennsylvania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-$183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1,779,000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14%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Rhode Island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-$20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181,000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17%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South Carolina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-$93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875,000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18%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South Dakota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-$11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104,000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12%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Tennessee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-$141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1,345,000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20%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Texas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-$411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3,997,000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15%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Utah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-$26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253,000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9%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Vermont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-$10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101,000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16%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-$99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941,000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11%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Washington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-$114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1,113,000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16%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West Virginia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-$36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350,000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19%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Wisconsin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-$89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861,000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15%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Wyoming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-$4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39,000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7%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Guam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-$7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45,000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N/A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Virgin Islands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-$4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27,000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N/A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Puerto Rico Block Grant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 $0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N/A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-$5,000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47,600,000</w:t>
            </w:r>
          </w:p>
        </w:tc>
        <w:tc>
          <w:tcPr>
            <w:tcW w:w="0" w:type="auto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jc w:val="center"/>
              <w:rPr>
                <w:rFonts w:asciiTheme="majorHAnsi" w:eastAsia="Times New Roman" w:hAnsiTheme="majorHAnsi" w:cs="Arial"/>
                <w:b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b/>
                <w:sz w:val="16"/>
                <w:szCs w:val="16"/>
              </w:rPr>
              <w:t>15%</w:t>
            </w:r>
          </w:p>
        </w:tc>
      </w:tr>
      <w:tr w:rsidR="00973174" w:rsidRPr="00CB6439" w:rsidTr="00973174">
        <w:trPr>
          <w:tblCellSpacing w:w="0" w:type="dxa"/>
        </w:trPr>
        <w:tc>
          <w:tcPr>
            <w:tcW w:w="0" w:type="auto"/>
            <w:gridSpan w:val="4"/>
            <w:tcBorders>
              <w:bottom w:val="single" w:sz="6" w:space="0" w:color="003768"/>
              <w:right w:val="single" w:sz="6" w:space="0" w:color="00376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73174" w:rsidRPr="00BB52BD" w:rsidRDefault="00973174" w:rsidP="00A90483">
            <w:pPr>
              <w:contextualSpacing/>
              <w:rPr>
                <w:rFonts w:asciiTheme="majorHAnsi" w:eastAsia="Times New Roman" w:hAnsiTheme="majorHAnsi" w:cs="Arial"/>
                <w:sz w:val="16"/>
                <w:szCs w:val="16"/>
              </w:rPr>
            </w:pP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 xml:space="preserve">Source: CBPP estimates based on USDA’s June 2013 Thrifty Food </w:t>
            </w:r>
            <w:proofErr w:type="gramStart"/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>Plan,</w:t>
            </w:r>
            <w:proofErr w:type="gramEnd"/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t xml:space="preserve"> CBO May 2013 baseline, 2011 USDA data on SNAP Household Characteristics, recent USDA administrative data on the number of SNAP participants, and U.S. Census Bureau data on state populations. </w:t>
            </w:r>
            <w:r w:rsidRPr="00BB52BD">
              <w:rPr>
                <w:rFonts w:asciiTheme="majorHAnsi" w:eastAsia="Times New Roman" w:hAnsiTheme="majorHAnsi" w:cs="Arial"/>
                <w:sz w:val="16"/>
                <w:szCs w:val="16"/>
              </w:rPr>
              <w:br/>
            </w:r>
          </w:p>
        </w:tc>
      </w:tr>
    </w:tbl>
    <w:p w:rsidR="00BA66BB" w:rsidRDefault="00973174"/>
    <w:sectPr w:rsidR="00BA66BB" w:rsidSect="00973174"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74"/>
    <w:rsid w:val="00973174"/>
    <w:rsid w:val="00A45CF0"/>
    <w:rsid w:val="00DC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7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973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7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973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Feeding America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Barber</dc:creator>
  <cp:lastModifiedBy>Michelle Barber</cp:lastModifiedBy>
  <cp:revision>1</cp:revision>
  <cp:lastPrinted>2013-10-10T19:22:00Z</cp:lastPrinted>
  <dcterms:created xsi:type="dcterms:W3CDTF">2013-10-10T19:20:00Z</dcterms:created>
  <dcterms:modified xsi:type="dcterms:W3CDTF">2013-10-10T19:27:00Z</dcterms:modified>
</cp:coreProperties>
</file>